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152400</wp:posOffset>
            </wp:positionH>
            <wp:positionV relativeFrom="margin">
              <wp:posOffset>-630554</wp:posOffset>
            </wp:positionV>
            <wp:extent cx="7239000" cy="2456043"/>
            <wp:effectExtent b="0" l="0" r="0" t="0"/>
            <wp:wrapNone/>
            <wp:docPr descr="bd7597d4be7839835acb44167307c8a4.png" id="3" name="image1.png"/>
            <a:graphic>
              <a:graphicData uri="http://schemas.openxmlformats.org/drawingml/2006/picture">
                <pic:pic>
                  <pic:nvPicPr>
                    <pic:cNvPr descr="bd7597d4be7839835acb44167307c8a4.png" id="0" name="image1.png"/>
                    <pic:cNvPicPr preferRelativeResize="0"/>
                  </pic:nvPicPr>
                  <pic:blipFill>
                    <a:blip r:embed="rId7"/>
                    <a:srcRect b="2679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456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PROGRAMMA DISCIPLINARE DI ECONOMIA AZIENDALE E GEOPOLITICA</w:t>
      </w:r>
    </w:p>
    <w:p w:rsidR="00000000" w:rsidDel="00000000" w:rsidP="00000000" w:rsidRDefault="00000000" w:rsidRPr="00000000" w14:paraId="0000000B">
      <w:pPr>
        <w:spacing w:after="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4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Materia Economia Aziendale e Geopolitica</w:t>
      </w:r>
    </w:p>
    <w:p w:rsidR="00000000" w:rsidDel="00000000" w:rsidP="00000000" w:rsidRDefault="00000000" w:rsidRPr="00000000" w14:paraId="0000000D">
      <w:pPr>
        <w:spacing w:after="0" w:line="4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Prof./ssa  Caterina Cappello</w:t>
      </w:r>
    </w:p>
    <w:p w:rsidR="00000000" w:rsidDel="00000000" w:rsidP="00000000" w:rsidRDefault="00000000" w:rsidRPr="00000000" w14:paraId="0000000E">
      <w:pPr>
        <w:spacing w:after="0" w:line="48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Classe V A RIM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31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Libri di testo: Impresa, Marketing e mondo up </w:t>
      </w:r>
    </w:p>
    <w:p w:rsidR="00000000" w:rsidDel="00000000" w:rsidP="00000000" w:rsidRDefault="00000000" w:rsidRPr="00000000" w14:paraId="0000001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comunicazione economico-finanziaria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Informazioni economico-finanziarie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strumenti della contabilità generale</w:t>
      </w:r>
    </w:p>
    <w:p w:rsidR="00000000" w:rsidDel="00000000" w:rsidP="00000000" w:rsidRDefault="00000000" w:rsidRPr="00000000" w14:paraId="0000001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rilevazione contabile di alcune operazioni di gestione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Classificazione delle immobilizzazioni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operazioni relative alle immobilizzazioni immateriali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operazioni riguardanti i beni strumentali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costruzioni  in economia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leasing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aiuti pubblici alle imprese: contributi in conto impianti e contributi i conto economia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bilancio d’esercizio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Gli strumenti della comunicazione economico-finanziaria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Disposizioni che regolano il bilancio d’esercizio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principi contabili nazionali e internazionali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Principi di redazione del bilancio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documenti del bilancio civilistico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bilancio in forma abbreviata e il bilancio delle micro-imprese</w:t>
      </w:r>
    </w:p>
    <w:p w:rsidR="00000000" w:rsidDel="00000000" w:rsidP="00000000" w:rsidRDefault="00000000" w:rsidRPr="00000000" w14:paraId="0000002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Il bilancio IAS/IFRS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bilancio IAS/IFRS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Differenze tra il bilancio IAS/IFRS e il bilancio civilistico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revisione legale dei conti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Forme di controllo del bilancio d’esercizio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procedura di revisione legale dei conti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giudizi sul bilancio che può esprimere il soggetto incaricato della revisione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L’analisi per indici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L’interpretazione del bilancio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rielaborazione dello Stato Patrimoniale 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rielaborazione del Conto Economico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conto economico a valore aggiunto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conto economico a costo del venduto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Gli indici di bilancio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L’analisi della redditività: gli indici reddituali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L’analisi della struttura patrimoniale e finanziaria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margini di struttura patrimoniale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L’equilibrio finanziario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indici patrimoniali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indici finanziari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L’analisi del bilancio socio-ambientale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imprese socialmente responsabili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Rendiconti sociali e ambientali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L’interpretazione dei rendiconti sociali e ambientali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ripartizione del valore aggiunto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contabilità gestionale</w:t>
      </w:r>
    </w:p>
    <w:p w:rsidR="00000000" w:rsidDel="00000000" w:rsidP="00000000" w:rsidRDefault="00000000" w:rsidRPr="00000000" w14:paraId="00000042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sistema informativo direzionale</w:t>
      </w:r>
    </w:p>
    <w:p w:rsidR="00000000" w:rsidDel="00000000" w:rsidP="00000000" w:rsidRDefault="00000000" w:rsidRPr="00000000" w14:paraId="00000043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contabilità analitica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scopi della contabilità gestionale</w:t>
      </w:r>
    </w:p>
    <w:p w:rsidR="00000000" w:rsidDel="00000000" w:rsidP="00000000" w:rsidRDefault="00000000" w:rsidRPr="00000000" w14:paraId="00000045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concetto di costo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classificazione dei costi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metodi di calcolo dei costi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direct costing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configurazioni di costo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full costing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basi di imputazione dei costi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centri di costo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L’utilizzo dei costi nelle decisioni aziendali</w:t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decisioni aziendali basate sull’analisi dei costi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scelta di effettuare un investimento che modifica la capacità produttiva</w:t>
      </w:r>
    </w:p>
    <w:p w:rsidR="00000000" w:rsidDel="00000000" w:rsidP="00000000" w:rsidRDefault="00000000" w:rsidRPr="00000000" w14:paraId="00000053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scelta di accettazione di un ordine, il costo suppletivo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Mix produttivo in presenza di un fattore produttivo scarso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scelta del prodotto da eliminare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make or buy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Break-even analysis</w:t>
      </w:r>
    </w:p>
    <w:p w:rsidR="00000000" w:rsidDel="00000000" w:rsidP="00000000" w:rsidRDefault="00000000" w:rsidRPr="00000000" w14:paraId="00000058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Le strategie aziendali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concetto di strategia</w:t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livelli della strategica</w:t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strategie di corporate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strategie di internazionalizzazione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imprese multinazionali nel contesto strategico globale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Le strategie di business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Le strategie di business</w:t>
      </w:r>
    </w:p>
    <w:p w:rsidR="00000000" w:rsidDel="00000000" w:rsidP="00000000" w:rsidRDefault="00000000" w:rsidRPr="00000000" w14:paraId="00000062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L’ASA e la matrice della Boston Consulting Group</w:t>
      </w:r>
    </w:p>
    <w:p w:rsidR="00000000" w:rsidDel="00000000" w:rsidP="00000000" w:rsidRDefault="00000000" w:rsidRPr="00000000" w14:paraId="00000063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vantaggio competitivo </w:t>
      </w:r>
    </w:p>
    <w:p w:rsidR="00000000" w:rsidDel="00000000" w:rsidP="00000000" w:rsidRDefault="00000000" w:rsidRPr="00000000" w14:paraId="00000064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che modo l’innovazione digitale influenza le scelte strategiche</w:t>
      </w:r>
    </w:p>
    <w:p w:rsidR="00000000" w:rsidDel="00000000" w:rsidP="00000000" w:rsidRDefault="00000000" w:rsidRPr="00000000" w14:paraId="00000065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Strategie di business per l’internazionalizzazione</w:t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Internazionalizzazione dei servizi</w:t>
      </w:r>
    </w:p>
    <w:p w:rsidR="00000000" w:rsidDel="00000000" w:rsidP="00000000" w:rsidRDefault="00000000" w:rsidRPr="00000000" w14:paraId="00000067">
      <w:pPr>
        <w:spacing w:after="0" w:line="240" w:lineRule="auto"/>
        <w:ind w:left="72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Le strategie funzionali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 strategie funzionali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catena del valore di Porter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Strategie di marketing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Strategie finanziarie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Strategie della funzione produzione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pianificazione e il controllo di gestione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pianificazione strategica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L’ambiente esterno: le 5 forze competitive di Porter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L’ambiente interno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piano strategico e l’analisi SWOT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Fasi e strumenti del controllo di gestione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Budget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Finalità della programmazione aziendale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e le sue parti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Tecniche di redazione del budget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costi standard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redazione del budget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delle vendite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della produzione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degli acquisti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della manodopera diretta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delle rimanenze di materie prime e di prodotti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budget degli investimenti fissi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budget settoriali e il budget generale d’esercizio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31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controllo budgetario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controllo del raggiungimento degli obiettivi programmati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Fasi dell’analisi degli scostamenti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Scostamenti di costo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28"/>
          <w:szCs w:val="28"/>
          <w:rtl w:val="0"/>
        </w:rPr>
        <w:t xml:space="preserve">Scostamenti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 ricavo (Cenni)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131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La redazione dei documenti contabili con dati a scelta</w:t>
      </w:r>
    </w:p>
    <w:p w:rsidR="00000000" w:rsidDel="00000000" w:rsidP="00000000" w:rsidRDefault="00000000" w:rsidRPr="00000000" w14:paraId="0000008C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Come procedere nello svolgimento della traccia</w:t>
      </w:r>
    </w:p>
    <w:p w:rsidR="00000000" w:rsidDel="00000000" w:rsidP="00000000" w:rsidRDefault="00000000" w:rsidRPr="00000000" w14:paraId="0000008D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redazione dello Stato Patrimoniale</w: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redazione del Conto Economico</w:t>
      </w:r>
    </w:p>
    <w:p w:rsidR="00000000" w:rsidDel="00000000" w:rsidP="00000000" w:rsidRDefault="00000000" w:rsidRPr="00000000" w14:paraId="0000008F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vincoli nella redazione del bilancio</w:t>
      </w:r>
    </w:p>
    <w:p w:rsidR="00000000" w:rsidDel="00000000" w:rsidP="00000000" w:rsidRDefault="00000000" w:rsidRPr="00000000" w14:paraId="00000090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redazione del bilancio a stati comparati</w:t>
      </w:r>
    </w:p>
    <w:p w:rsidR="00000000" w:rsidDel="00000000" w:rsidP="00000000" w:rsidRDefault="00000000" w:rsidRPr="00000000" w14:paraId="00000091">
      <w:pPr>
        <w:numPr>
          <w:ilvl w:val="0"/>
          <w:numId w:val="4"/>
        </w:numPr>
        <w:spacing w:after="0" w:line="240" w:lineRule="auto"/>
        <w:ind w:left="720" w:hanging="360"/>
        <w:jc w:val="both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La redazione del bilancio in forma abbreviata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business plan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fattori che determinano la nascita di una nuova impresa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Competenze dell’imprenditore o dei soci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Destinatari del business plan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Contenuto del business plan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L’executive summary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del settore e della concorrenza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di mercato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Informazioni necessarie alla compilazione della struttura tecnico-operativa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L’analisi quantitativo monetaria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Considerazioni conclusive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1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Business Plan per l’internazionalizzazione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Pianificazione di un’attività all’estero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L’analisi paese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scelta di localizzazione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del settore e della concorrenza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di mercato estero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Analisi della struttura tecnico-operativa per l’estero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L’analisi quantitativo monetaria e considerazioni conclusive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131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vantaggi derivanti dalla collaborazione tra imprese nel processo di internazionalizzazione</w:t>
      </w:r>
    </w:p>
    <w:p w:rsidR="00000000" w:rsidDel="00000000" w:rsidP="00000000" w:rsidRDefault="00000000" w:rsidRPr="00000000" w14:paraId="000000A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Santeramo in Colle, 01/06/2026</w:t>
      </w:r>
    </w:p>
    <w:p w:rsidR="00000000" w:rsidDel="00000000" w:rsidP="00000000" w:rsidRDefault="00000000" w:rsidRPr="00000000" w14:paraId="000000A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7080" w:firstLine="707.9999999999995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docente </w:t>
      </w:r>
    </w:p>
    <w:p w:rsidR="00000000" w:rsidDel="00000000" w:rsidP="00000000" w:rsidRDefault="00000000" w:rsidRPr="00000000" w14:paraId="000000AC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Caterina Cappello</w:t>
      </w:r>
    </w:p>
    <w:sectPr>
      <w:headerReference r:id="rId8" w:type="default"/>
      <w:footerReference r:id="rId9" w:type="default"/>
      <w:pgSz w:h="16838" w:w="11906" w:orient="portrait"/>
      <w:pgMar w:bottom="1134" w:top="980" w:left="1134" w:right="1134" w:header="28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663077</wp:posOffset>
              </wp:positionH>
              <wp:positionV relativeFrom="paragraph">
                <wp:posOffset>-549319</wp:posOffset>
              </wp:positionV>
              <wp:extent cx="5146040" cy="71818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777743" y="342567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70029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 Santeramo in Colle (Ba)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Sede Centrale: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via F.lli Kennedy, 7 - Tel. 080.3036201-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Succursale (ITE-LS)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via P. Sette, 3 -Tel. 080.3039751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e-mail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bais01600d@istruzione.it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posta certificata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bais01600d@pec.istruzione.it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sito web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ff"/>
                              <w:sz w:val="16"/>
                              <w:u w:val="single"/>
                              <w:vertAlign w:val="baseline"/>
                            </w:rPr>
                            <w:t xml:space="preserve">www.iisspietrosette.edu.it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C.F.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91053080726-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Cod. Meccanografico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BAIS01600D-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Codice Univoco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: UFZ88A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DETERMINA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Oggetto: Impegno di spesa e liquidazione quota associativa CONFAO anno 2021.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IL DIRIGENTE SCOLASTICO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993.0000305175781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R.D. 18 novembre 1923, n. 2440, recante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“Nuove disposizioni sull’amministrazione  del patrimonio e la contabilità generale dello Stato”;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Piano Triennale dell’Offerta Formativa (PTOF);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VISTA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CONSIDERATO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VISTE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 il Protocollo di Intesa tra il Miur e il CONFAO stipulato in data 24/12/2019 prot. n. 25227;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ACCERTATO che il CONFAO svolge attività di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Impresa Formativa Simulata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CONFRONTATI i piani di attivazione dei servizi del simulatore IFSCONFAO come riportati: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VALUTATO come assolutamente conveniente l’associazione al CONFAOin quanto gli accessi stimati per il 2021sono pari o superiori a 7;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 i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l D. I. 28 agosto 2018, n. 129 recante il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“Regolamento recante istruzioni generali sulla gestione amministrativo-contabile delle istituzioni scolastiche, ai sensi dell’articolo 1, comma 143, della legge 13 luglio 2015, n. 107”,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art. 45, comma 1, lett. (f;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VISTA la delibera del Consiglio di Istituto n. 49 del 13/11/2020 di autorizzazione all’adesione dell’IISS “Pietro Sette”al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Consorzio Nazionale per la Formazione, l’Aggiornamento e l’Orientamento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CONFAO;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RITENUTO congruo il piano adesione al CONFAO che prevede l’accesso gratuito al simulatore IFSCONFAO per n. 7 unità compreso nella quota associativa per un anno solare;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20" w:line="240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CONSIDERATO che in data 23/11/2020 l’IISS Pietro Sette ha trasmesso la scheda di adesione al Consorzio per l’anno 2021;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850.9999847412109" w:right="0" w:firstLine="141.9999980926513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VISTO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991.9999694824219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ACCERTATA la disponibilità finanziaria sul capitolo di spesa A04.6 – P381 IL TECNICO IN ALTERNANZA 2018/2021,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993.0000305175781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DETERMINA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20" w:before="12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 autorizzare l’impegno e la liquidazione della somma pari a € 500,00, IVA esente, sul capitolo di spesa A04.6 – P381 IL TECNICO IN ALTERNANZA 2018/2021 per l’adesione, per l’anno 2021, al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Consorzio Nazionale per la Formazione, l’Aggiornamento e l’Orientamento </w:t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CONFAO.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ff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Santeramo in Colle, 25 novembre 2020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12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Il  Dirigente Scolastico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Giovanni MARIANI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663077</wp:posOffset>
              </wp:positionH>
              <wp:positionV relativeFrom="paragraph">
                <wp:posOffset>-549319</wp:posOffset>
              </wp:positionV>
              <wp:extent cx="5146040" cy="71818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46040" cy="7181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5936933</wp:posOffset>
              </wp:positionH>
              <wp:positionV relativeFrom="paragraph">
                <wp:posOffset>-559116</wp:posOffset>
              </wp:positionV>
              <wp:extent cx="817245" cy="610235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42140" y="3479645"/>
                        <a:ext cx="807720" cy="600710"/>
                      </a:xfrm>
                      <a:prstGeom prst="rect">
                        <a:avLst/>
                      </a:prstGeom>
                      <a:blipFill rotWithShape="1">
                        <a:blip r:embed="rId2">
                          <a:alphaModFix/>
                        </a:blip>
                        <a:stretch>
                          <a:fillRect b="0" l="0" r="0" t="0"/>
                        </a:stretch>
                      </a:blip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5936933</wp:posOffset>
              </wp:positionH>
              <wp:positionV relativeFrom="paragraph">
                <wp:posOffset>-559116</wp:posOffset>
              </wp:positionV>
              <wp:extent cx="817245" cy="610235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17245" cy="6102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F">
    <w:pPr>
      <w:tabs>
        <w:tab w:val="left" w:leader="none" w:pos="142"/>
        <w:tab w:val="left" w:leader="none" w:pos="3544"/>
        <w:tab w:val="left" w:leader="none" w:pos="7513"/>
      </w:tabs>
      <w:spacing w:after="0" w:line="240" w:lineRule="auto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UMXsnpAFijqDw0vN+Xopd5YLSQ==">CgMxLjA4AHIhMWtLd2dpMHZqZUdGTWI1QjdkOVZXbWxjRkg2cHhMWkVJ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